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D25AD">
        <w:rPr>
          <w:rFonts w:ascii="GHEA Grapalat" w:hAnsi="GHEA Grapalat" w:cs="Sylfaen"/>
          <w:sz w:val="20"/>
          <w:u w:val="single"/>
          <w:lang w:val="hy-AM"/>
        </w:rPr>
        <w:t>ռեգուլյար տեսակի բենզիզնի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5D25AD">
        <w:rPr>
          <w:rFonts w:ascii="GHEA Grapalat" w:hAnsi="GHEA Grapalat" w:cs="Sylfaen"/>
          <w:b/>
          <w:sz w:val="20"/>
          <w:lang w:val="hy-AM"/>
        </w:rPr>
        <w:t>12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5D25AD">
        <w:rPr>
          <w:rFonts w:ascii="GHEA Grapalat" w:hAnsi="GHEA Grapalat" w:cs="Sylfaen"/>
          <w:sz w:val="20"/>
          <w:lang w:val="hy-AM"/>
        </w:rPr>
        <w:t>օգոստոս</w:t>
      </w:r>
      <w:r w:rsidR="00562099">
        <w:rPr>
          <w:rFonts w:ascii="GHEA Grapalat" w:hAnsi="GHEA Grapalat" w:cs="Sylfaen"/>
          <w:sz w:val="20"/>
          <w:lang w:val="hy-AM"/>
        </w:rPr>
        <w:t>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E00725">
        <w:rPr>
          <w:rFonts w:ascii="GHEA Grapalat" w:hAnsi="GHEA Grapalat" w:cs="Sylfaen"/>
          <w:sz w:val="20"/>
          <w:lang w:val="hy-AM"/>
        </w:rPr>
        <w:t>0</w:t>
      </w:r>
      <w:r w:rsidR="005D25AD">
        <w:rPr>
          <w:rFonts w:ascii="GHEA Grapalat" w:hAnsi="GHEA Grapalat" w:cs="Sylfaen"/>
          <w:sz w:val="20"/>
          <w:lang w:val="hy-AM"/>
        </w:rPr>
        <w:t>8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E00725">
        <w:rPr>
          <w:rFonts w:ascii="GHEA Grapalat" w:hAnsi="GHEA Grapalat" w:cs="Sylfaen"/>
          <w:sz w:val="20"/>
          <w:u w:val="single"/>
        </w:rPr>
        <w:t>9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5D25AD">
        <w:rPr>
          <w:rFonts w:ascii="GHEA Grapalat" w:hAnsi="GHEA Grapalat" w:cs="Sylfaen"/>
          <w:sz w:val="20"/>
          <w:u w:val="single"/>
          <w:lang w:val="hy-AM"/>
        </w:rPr>
        <w:t>12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D25AD" w:rsidRPr="00BF7713" w:rsidTr="00394DBF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D25AD" w:rsidRPr="00BF7713" w:rsidRDefault="005D25A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622771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Բենզին՝ ռեգուլյար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983E97" w:rsidRDefault="005D25AD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5D25AD" w:rsidRDefault="005D25AD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795CB5" w:rsidRDefault="00795CB5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3942500</w:t>
            </w:r>
            <w:bookmarkStart w:id="0" w:name="_GoBack"/>
            <w:bookmarkEnd w:id="0"/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D25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13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F13625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,,ՍԻՓԻԷՍ ՕԻԼ</w:t>
            </w:r>
            <w:r w:rsidR="00E42206" w:rsidRPr="005F2EA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3245833.33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648166.67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3895000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3325000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F13625" w:rsidRDefault="005D25AD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3990000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D25AD" w:rsidP="005D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F13625" w:rsidP="005D25A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D25AD" w:rsidP="005D25A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5D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5D25AD"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5D25AD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5D25AD" w:rsidP="005D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60357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5D25AD" w:rsidP="005D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60357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D25AD" w:rsidRDefault="001D0F0B" w:rsidP="005D25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="00F13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5D25AD">
              <w:rPr>
                <w:rFonts w:ascii="GHEA Grapalat" w:hAnsi="GHEA Grapalat"/>
                <w:b/>
                <w:sz w:val="14"/>
                <w:szCs w:val="14"/>
              </w:rPr>
              <w:t>12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D25A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5D25A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F13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F13625" w:rsidRDefault="005D25AD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3895000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98" w:rsidRDefault="00EA7898" w:rsidP="00983E97">
      <w:r>
        <w:separator/>
      </w:r>
    </w:p>
  </w:endnote>
  <w:endnote w:type="continuationSeparator" w:id="0">
    <w:p w:rsidR="00EA7898" w:rsidRDefault="00EA7898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EA789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EA7898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EA789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98" w:rsidRDefault="00EA7898" w:rsidP="00983E97">
      <w:r>
        <w:separator/>
      </w:r>
    </w:p>
  </w:footnote>
  <w:footnote w:type="continuationSeparator" w:id="0">
    <w:p w:rsidR="00EA7898" w:rsidRDefault="00EA7898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25560E"/>
    <w:rsid w:val="00322066"/>
    <w:rsid w:val="003F2DA6"/>
    <w:rsid w:val="00414E14"/>
    <w:rsid w:val="004244DD"/>
    <w:rsid w:val="004F0641"/>
    <w:rsid w:val="00511333"/>
    <w:rsid w:val="00532355"/>
    <w:rsid w:val="00562099"/>
    <w:rsid w:val="005C28E2"/>
    <w:rsid w:val="005D25AD"/>
    <w:rsid w:val="005F2EA2"/>
    <w:rsid w:val="00603571"/>
    <w:rsid w:val="00622771"/>
    <w:rsid w:val="00625B29"/>
    <w:rsid w:val="0064032E"/>
    <w:rsid w:val="006A5E36"/>
    <w:rsid w:val="006E6E8B"/>
    <w:rsid w:val="00795CB5"/>
    <w:rsid w:val="009013DC"/>
    <w:rsid w:val="00967B78"/>
    <w:rsid w:val="00983E97"/>
    <w:rsid w:val="00A31192"/>
    <w:rsid w:val="00A5738F"/>
    <w:rsid w:val="00A64199"/>
    <w:rsid w:val="00C21CC0"/>
    <w:rsid w:val="00C7064E"/>
    <w:rsid w:val="00CB7DEB"/>
    <w:rsid w:val="00E00725"/>
    <w:rsid w:val="00E42206"/>
    <w:rsid w:val="00E625AD"/>
    <w:rsid w:val="00EA7898"/>
    <w:rsid w:val="00EC527F"/>
    <w:rsid w:val="00F12D3B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2019-08-15T10:22:00Z</cp:lastPrinted>
  <dcterms:created xsi:type="dcterms:W3CDTF">2017-07-14T07:47:00Z</dcterms:created>
  <dcterms:modified xsi:type="dcterms:W3CDTF">2019-08-15T10:25:00Z</dcterms:modified>
</cp:coreProperties>
</file>