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1B49A9">
        <w:rPr>
          <w:rFonts w:ascii="GHEA Grapalat" w:eastAsia="Arial Unicode MS" w:hAnsi="GHEA Grapalat" w:cs="Arial Unicode MS"/>
          <w:sz w:val="20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C5C82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1B49A9">
        <w:rPr>
          <w:rFonts w:ascii="GHEA Grapalat" w:eastAsia="Arial Unicode MS" w:hAnsi="GHEA Grapalat" w:cs="Arial Unicode MS"/>
          <w:sz w:val="20"/>
          <w:lang w:val="af-ZA"/>
        </w:rPr>
        <w:t>3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1B49A9">
        <w:rPr>
          <w:rFonts w:ascii="GHEA Grapalat" w:eastAsia="Arial Unicode MS" w:hAnsi="GHEA Grapalat" w:cs="Arial Unicode MS"/>
          <w:b/>
          <w:sz w:val="20"/>
          <w:lang w:val="hy-AM"/>
        </w:rPr>
        <w:t>ծառայողական ավտոմեքենաների վերանորոգման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b/>
          <w:sz w:val="20"/>
          <w:lang w:val="ru-RU"/>
        </w:rPr>
        <w:t>ծառայություների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-21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8B0B46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21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օգոստո</w:t>
      </w:r>
      <w:r w:rsidR="00EC5C82" w:rsidRPr="00CF777C">
        <w:rPr>
          <w:rFonts w:ascii="GHEA Grapalat" w:eastAsia="Arial Unicode MS" w:hAnsi="GHEA Grapalat" w:cs="Arial Unicode MS"/>
          <w:sz w:val="20"/>
          <w:lang w:val="hy-AM"/>
        </w:rPr>
        <w:t>ս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16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1B49A9">
        <w:rPr>
          <w:rFonts w:ascii="GHEA Grapalat" w:eastAsia="Arial Unicode MS" w:hAnsi="GHEA Grapalat" w:cs="Arial Unicode MS"/>
          <w:b/>
          <w:sz w:val="20"/>
          <w:lang w:val="hy-AM"/>
        </w:rPr>
        <w:t>ծառայողան ավտոմեքենաների վերանորոգում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96AA1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96AA1" w:rsidRPr="00CF777C" w:rsidRDefault="00C96AA1" w:rsidP="001B49A9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hy-AM"/>
              </w:rPr>
              <w:t>,,</w:t>
            </w:r>
            <w:r w:rsidR="001B49A9">
              <w:rPr>
                <w:rFonts w:ascii="GHEA Grapalat" w:eastAsia="Arial Unicode MS" w:hAnsi="GHEA Grapalat" w:cs="Arial Unicode MS"/>
                <w:sz w:val="20"/>
                <w:lang w:val="hy-AM"/>
              </w:rPr>
              <w:t>Կարեն Ամյան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hy-AM"/>
              </w:rPr>
              <w:t xml:space="preserve">,, </w:t>
            </w:r>
            <w:r w:rsidR="001B49A9">
              <w:rPr>
                <w:rFonts w:ascii="GHEA Grapalat" w:eastAsia="Arial Unicode MS" w:hAnsi="GHEA Grapalat" w:cs="Arial Unicode MS"/>
                <w:sz w:val="20"/>
                <w:lang w:val="hy-AM"/>
              </w:rPr>
              <w:t>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C96AA1" w:rsidRPr="00CF777C" w:rsidRDefault="001B49A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1B49A9">
              <w:rPr>
                <w:rFonts w:ascii="GHEA Grapalat" w:eastAsia="Arial Unicode MS" w:hAnsi="GHEA Grapalat" w:cs="Arial Unicode MS"/>
                <w:sz w:val="20"/>
                <w:lang w:val="hy-AM"/>
              </w:rPr>
              <w:t>,,Կարեն Ամյան,,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1B49A9" w:rsidRDefault="001B49A9" w:rsidP="00EA168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</w:t>
            </w:r>
            <w:r w:rsidR="00EA168B">
              <w:rPr>
                <w:rFonts w:ascii="GHEA Grapalat" w:eastAsia="Arial Unicode MS" w:hAnsi="GHEA Grapalat" w:cs="Arial Unicode MS"/>
                <w:sz w:val="20"/>
              </w:rPr>
              <w:t>3</w:t>
            </w:r>
            <w:bookmarkStart w:id="0" w:name="_GoBack"/>
            <w:bookmarkEnd w:id="0"/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00,000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26597F" w:rsidRPr="0026597F" w:rsidRDefault="0026597F" w:rsidP="0026597F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26597F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02588A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1B49A9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C96AA1" w:rsidRPr="00CF777C" w:rsidRDefault="00C96AA1" w:rsidP="00C96AA1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C96AA1" w:rsidRPr="00CF777C" w:rsidRDefault="00C96AA1" w:rsidP="00C96AA1">
      <w:pPr>
        <w:rPr>
          <w:rFonts w:ascii="GHEA Grapalat" w:hAnsi="GHEA Grapalat"/>
        </w:rPr>
      </w:pPr>
    </w:p>
    <w:p w:rsidR="00B74156" w:rsidRPr="00CF777C" w:rsidRDefault="004352D1">
      <w:pPr>
        <w:rPr>
          <w:rFonts w:ascii="GHEA Grapalat" w:hAnsi="GHEA Grapalat"/>
        </w:rPr>
      </w:pP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D1" w:rsidRDefault="004352D1">
      <w:r>
        <w:separator/>
      </w:r>
    </w:p>
  </w:endnote>
  <w:endnote w:type="continuationSeparator" w:id="0">
    <w:p w:rsidR="004352D1" w:rsidRDefault="004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352D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68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352D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D1" w:rsidRDefault="004352D1">
      <w:r>
        <w:separator/>
      </w:r>
    </w:p>
  </w:footnote>
  <w:footnote w:type="continuationSeparator" w:id="0">
    <w:p w:rsidR="004352D1" w:rsidRDefault="0043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35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B49A9"/>
    <w:rsid w:val="001C59E1"/>
    <w:rsid w:val="0026597F"/>
    <w:rsid w:val="002A5DFE"/>
    <w:rsid w:val="002F0071"/>
    <w:rsid w:val="004352D1"/>
    <w:rsid w:val="008B0B46"/>
    <w:rsid w:val="00B62F55"/>
    <w:rsid w:val="00C96AA1"/>
    <w:rsid w:val="00CF777C"/>
    <w:rsid w:val="00EA168B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2021-08-17T05:36:00Z</cp:lastPrinted>
  <dcterms:created xsi:type="dcterms:W3CDTF">2020-06-02T13:15:00Z</dcterms:created>
  <dcterms:modified xsi:type="dcterms:W3CDTF">2021-08-17T05:37:00Z</dcterms:modified>
</cp:coreProperties>
</file>